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68" w:rsidRPr="00F935B7" w:rsidRDefault="00036368" w:rsidP="00036368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5B7">
        <w:rPr>
          <w:rFonts w:ascii="Times New Roman" w:hAnsi="Times New Roman" w:cs="Times New Roman"/>
          <w:sz w:val="24"/>
          <w:szCs w:val="24"/>
        </w:rPr>
        <w:t>Содержание</w:t>
      </w:r>
    </w:p>
    <w:p w:rsidR="00036368" w:rsidRPr="00F935B7" w:rsidRDefault="00036368" w:rsidP="00036368">
      <w:pPr>
        <w:tabs>
          <w:tab w:val="right" w:leader="dot" w:pos="634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Предисловие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3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Структура и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материально­техническое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обеспечение лаборатории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ихтиопатологии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Общие правила работы в лаборатории. Лабораторное оборудование, применяемое в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ихтиопатологических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исследованиях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5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Изучение гематологических показателей  рыб и их диагностическое значение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14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Изучение морфологии лейкоцитов и их диагностическое значение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22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Методы изучения иммунитета. Серологические методы </w:t>
      </w:r>
      <w:r w:rsidRPr="00F935B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исследований (реакция агглютинации, реакция преципитации,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фагоцитарная реакция)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29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Гистологические методы исследований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36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6.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Устройство и особенности работы бактериологической лаборатории. Методы бактериологических исследований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45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Взятие и транспортировка патологического материала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50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8.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Определение чувствительности бактерий к антибиотикам и патогенных свойств бактерий (биологическая проба)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54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9.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Проведение клинического и патологоанатомического обследования рыб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61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10.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Методы изучения микозов рыб. Основные понятия в микологии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67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11.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Изучение возбудителей бактериальных болезней рыб  (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аэромоноз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псевдомоноз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79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12.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Методика полного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паразитологического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вскрытия рыб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88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Темы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13–14.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Методика обследования морской рыбы на предмет </w:t>
      </w:r>
      <w:r w:rsidRPr="00F935B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обнаружения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личиночных стадий 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анизакид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93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pacing w:val="2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15. </w:t>
      </w:r>
      <w:r w:rsidRPr="00F935B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ab/>
        <w:t xml:space="preserve">Методы изучения возбудителей протозойных болезней рыб. </w:t>
      </w:r>
      <w:proofErr w:type="spellStart"/>
      <w:r w:rsidRPr="00F935B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Эймерии</w:t>
      </w:r>
      <w:proofErr w:type="spellEnd"/>
      <w:r w:rsidRPr="00F935B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ab/>
        <w:t>101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pacing w:val="2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16. </w:t>
      </w:r>
      <w:r w:rsidRPr="00F935B7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ab/>
        <w:t xml:space="preserve">Методы изучения возбудителей протозойных болезней рыб,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вызываемых инфузориями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106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17.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Особенности диагностики и меры борьбы с болезнями, вызываемыми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миксоспоридиями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115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18.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Особенности диагностики и меры борьбы с болезнями, вызываемыми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микроспоридиями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125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19.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Методы изучения возбудителей трематодозов рыб: сбор, </w:t>
      </w:r>
      <w:r w:rsidRPr="00F935B7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фиксация, приготовление препаратов и изучение морфологии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паразитов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129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Методы изучения возбудителей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нематодозов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рыб: сбор, </w:t>
      </w:r>
      <w:r w:rsidRPr="00F935B7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фиксация, приготовление препаратов и изучение морфологии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паразитов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142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Темы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21–22.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Методы изучения возбудителей цестодозов рыб: сбор, </w:t>
      </w:r>
      <w:r w:rsidRPr="00F935B7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фиксация, приготовление препаратов и изучение морфологии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паразитов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160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23.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Методы изучения возбудителей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моногеноидозов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рыб: сбор, </w:t>
      </w:r>
      <w:r w:rsidRPr="00F935B7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фиксация, приготовление препаратов и изучение морфологии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паразитов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173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24.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Методы изучения возбудителей болезней, вызываемых </w:t>
      </w:r>
      <w:proofErr w:type="gram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ракообразными</w:t>
      </w:r>
      <w:proofErr w:type="gram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, паразитирующими у рыб: сбор, фиксация, приготовление препаратов, изучение морфологических особенностей, определение паразитов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179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pacing w:val="-2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 xml:space="preserve"> 25. </w:t>
      </w:r>
      <w:r w:rsidRPr="00F935B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ab/>
        <w:t xml:space="preserve">Методы изучения возбудителей болезней, вызываемых </w:t>
      </w:r>
      <w:proofErr w:type="gramStart"/>
      <w:r w:rsidRPr="00F935B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кишечнополостными</w:t>
      </w:r>
      <w:proofErr w:type="gramEnd"/>
      <w:r w:rsidRPr="00F935B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>, паразитирующими у рыб: сбор, фиксация, приготовление препаратов, изучение морфологических особенностей, определение паразитов</w:t>
      </w:r>
      <w:r w:rsidRPr="00F935B7">
        <w:rPr>
          <w:rFonts w:ascii="Times New Roman" w:hAnsi="Times New Roman"/>
          <w:color w:val="000000"/>
          <w:spacing w:val="-2"/>
          <w:sz w:val="24"/>
          <w:szCs w:val="24"/>
          <w:lang w:eastAsia="ru-RU"/>
        </w:rPr>
        <w:tab/>
        <w:t>186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26.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Методы изучения возбудителей болезней, вызываемых моллюсками, паразитирующими у рыб: сбор, фиксация, приготовление препаратов, изучение морфологических особенностей, определение паразитов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191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ТемЫ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27–29.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Лекарственные средства и лекарственные формы, применяемые в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ихтиопатологии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195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lastRenderedPageBreak/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30.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Порядок применения и расчет необходимого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F935B7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t xml:space="preserve">количества препаратов для профилактических </w:t>
      </w:r>
      <w:r w:rsidRPr="00F935B7">
        <w:rPr>
          <w:rFonts w:ascii="Times New Roman" w:hAnsi="Times New Roman"/>
          <w:color w:val="000000"/>
          <w:spacing w:val="-3"/>
          <w:sz w:val="24"/>
          <w:szCs w:val="24"/>
          <w:lang w:eastAsia="ru-RU"/>
        </w:rPr>
        <w:br/>
        <w:t xml:space="preserve">и лечебных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обработок рыб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217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pacing w:val="3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31. </w:t>
      </w:r>
      <w:r w:rsidRPr="00F935B7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ab/>
        <w:t xml:space="preserve">Основы </w:t>
      </w:r>
      <w:proofErr w:type="spellStart"/>
      <w:r w:rsidRPr="00F935B7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>ветеринарно­санитарной</w:t>
      </w:r>
      <w:proofErr w:type="spellEnd"/>
      <w:r w:rsidRPr="00F935B7">
        <w:rPr>
          <w:rFonts w:ascii="Times New Roman" w:hAnsi="Times New Roman"/>
          <w:color w:val="000000"/>
          <w:spacing w:val="3"/>
          <w:sz w:val="24"/>
          <w:szCs w:val="24"/>
          <w:lang w:eastAsia="ru-RU"/>
        </w:rPr>
        <w:t xml:space="preserve"> экспертизы пресноводной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рыбы и раков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225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32.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Организация первичного учета и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ихтиопатологической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отчетности в рыбоводных хозяйствах. Организация </w:t>
      </w:r>
      <w:r w:rsidRPr="00F935B7"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 xml:space="preserve">производственного лабораторного контроля технологических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процессов и продукции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231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33.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Составление планов противоэпизоотических,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лечебно­профилактических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оздоровительных мероприятий </w:t>
      </w:r>
      <w:r w:rsidRPr="00F935B7">
        <w:rPr>
          <w:rFonts w:ascii="Times New Roman" w:hAnsi="Times New Roman"/>
          <w:color w:val="000000"/>
          <w:spacing w:val="4"/>
          <w:sz w:val="24"/>
          <w:szCs w:val="24"/>
          <w:lang w:eastAsia="ru-RU"/>
        </w:rPr>
        <w:t xml:space="preserve">в рыбоводных хозяйствах. Эпизоотологическое обследование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хозяйства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236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Тема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34. 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Организация профилактических и лечебных мероприятий по борьбе с болезнями рыб. Определение экономической эффективности проводимых </w:t>
      </w:r>
      <w:proofErr w:type="spellStart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лечебно­профилактических</w:t>
      </w:r>
      <w:proofErr w:type="spellEnd"/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оздоровительных мероприятий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240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>ЛИТЕРАТУРА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249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aps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Словарь ихтиопатологических терминов</w:t>
      </w: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ab/>
        <w:t>251</w:t>
      </w:r>
    </w:p>
    <w:p w:rsidR="00036368" w:rsidRPr="00F935B7" w:rsidRDefault="00036368" w:rsidP="00036368">
      <w:pPr>
        <w:tabs>
          <w:tab w:val="right" w:leader="dot" w:pos="6350"/>
        </w:tabs>
        <w:suppressAutoHyphens/>
        <w:autoSpaceDE w:val="0"/>
        <w:autoSpaceDN w:val="0"/>
        <w:adjustRightInd w:val="0"/>
        <w:spacing w:after="0" w:line="240" w:lineRule="auto"/>
        <w:ind w:left="1360" w:hanging="1360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935B7">
        <w:rPr>
          <w:rFonts w:ascii="Times New Roman" w:hAnsi="Times New Roman"/>
          <w:caps/>
          <w:color w:val="000000"/>
          <w:sz w:val="24"/>
          <w:szCs w:val="24"/>
          <w:lang w:eastAsia="ru-RU"/>
        </w:rPr>
        <w:t>Приложения</w:t>
      </w:r>
      <w:r w:rsidRPr="00F935B7">
        <w:rPr>
          <w:rFonts w:ascii="Times New Roman" w:hAnsi="Times New Roman"/>
          <w:color w:val="000000"/>
          <w:sz w:val="24"/>
          <w:szCs w:val="24"/>
          <w:lang w:eastAsia="ru-RU"/>
        </w:rPr>
        <w:tab/>
        <w:t>262</w:t>
      </w:r>
    </w:p>
    <w:p w:rsidR="00E51807" w:rsidRDefault="00E51807">
      <w:bookmarkStart w:id="0" w:name="_GoBack"/>
      <w:bookmarkEnd w:id="0"/>
    </w:p>
    <w:sectPr w:rsidR="00E51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er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68"/>
    <w:rsid w:val="00036368"/>
    <w:rsid w:val="00E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68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036368"/>
    <w:pPr>
      <w:keepNext/>
      <w:pBdr>
        <w:bottom w:val="single" w:sz="16" w:space="7" w:color="000000"/>
      </w:pBdr>
      <w:suppressAutoHyphens/>
      <w:autoSpaceDE w:val="0"/>
      <w:autoSpaceDN w:val="0"/>
      <w:adjustRightInd w:val="0"/>
      <w:spacing w:after="510" w:line="264" w:lineRule="auto"/>
      <w:ind w:left="1020"/>
      <w:textAlignment w:val="center"/>
      <w:outlineLvl w:val="1"/>
    </w:pPr>
    <w:rPr>
      <w:rFonts w:ascii="Weber Medium" w:hAnsi="Weber Medium" w:cs="Weber Medium"/>
      <w:caps/>
      <w:color w:val="000000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36368"/>
    <w:rPr>
      <w:rFonts w:ascii="Weber Medium" w:eastAsia="Calibri" w:hAnsi="Weber Medium" w:cs="Weber Medium"/>
      <w:caps/>
      <w:color w:val="000000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68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036368"/>
    <w:pPr>
      <w:keepNext/>
      <w:pBdr>
        <w:bottom w:val="single" w:sz="16" w:space="7" w:color="000000"/>
      </w:pBdr>
      <w:suppressAutoHyphens/>
      <w:autoSpaceDE w:val="0"/>
      <w:autoSpaceDN w:val="0"/>
      <w:adjustRightInd w:val="0"/>
      <w:spacing w:after="510" w:line="264" w:lineRule="auto"/>
      <w:ind w:left="1020"/>
      <w:textAlignment w:val="center"/>
      <w:outlineLvl w:val="1"/>
    </w:pPr>
    <w:rPr>
      <w:rFonts w:ascii="Weber Medium" w:hAnsi="Weber Medium" w:cs="Weber Medium"/>
      <w:caps/>
      <w:color w:val="000000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36368"/>
    <w:rPr>
      <w:rFonts w:ascii="Weber Medium" w:eastAsia="Calibri" w:hAnsi="Weber Medium" w:cs="Weber Medium"/>
      <w:caps/>
      <w:color w:val="000000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2018-12-27T09:59:00Z</dcterms:created>
  <dcterms:modified xsi:type="dcterms:W3CDTF">2018-12-27T09:59:00Z</dcterms:modified>
</cp:coreProperties>
</file>