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DA" w:rsidRPr="00F743C8" w:rsidRDefault="00FA1EDA" w:rsidP="00FA1EDA">
      <w:pPr>
        <w:tabs>
          <w:tab w:val="left" w:pos="600"/>
        </w:tabs>
        <w:autoSpaceDE w:val="0"/>
        <w:autoSpaceDN w:val="0"/>
        <w:adjustRightInd w:val="0"/>
        <w:spacing w:before="454" w:after="454" w:line="288" w:lineRule="auto"/>
        <w:ind w:left="454"/>
        <w:textAlignment w:val="center"/>
        <w:rPr>
          <w:rFonts w:ascii="HeliosC" w:hAnsi="HeliosC" w:cs="HeliosC"/>
          <w:b/>
          <w:bCs/>
          <w:color w:val="000000"/>
        </w:rPr>
      </w:pPr>
      <w:r w:rsidRPr="00F743C8">
        <w:rPr>
          <w:rFonts w:ascii="HeliosC" w:hAnsi="HeliosC" w:cs="HeliosC"/>
          <w:b/>
          <w:bCs/>
          <w:color w:val="000000"/>
        </w:rPr>
        <w:t>Содержание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Предисловие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3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before="283"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1. БИОЛОГИЧЕСКИЕ И АГРОТЕХНИЧЕСКИЕ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ОСОБЕННОСТИ ПРЯНОВКУСОВЫХ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113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И ЭФИРНОМАСЛИЧНЫХ КУЛЬТУР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1.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Классификация пряно-ароматических и </w:t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эфирнома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с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личных культур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2.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Биологические и агротехнические особенности одн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о-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летних пряно-ароматических и эфирномасличных культур. Их х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а-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рактеристика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8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 xml:space="preserve">Тема 3. 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Биологические и агротехнические особенности </w:t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дв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у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летних пряно-ароматических и эфирномасличных культур.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 xml:space="preserve">Их характеристика 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11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4.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Биологические и агротехнические особенности 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много-летних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пряно-ароматических и эфирномасличных культур. Их х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а-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рактеристика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13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before="283"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2. ПЕРЕРАБОТКА И ХРАНЕНИЕ 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ЭФИРНОМАСЛИЧНОГО</w:t>
      </w:r>
      <w:proofErr w:type="gramEnd"/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113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СЫРЬЯ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17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Теоретический материал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17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1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. Способы получения эфирного масла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21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2.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Переработка и хранение эфирномасличного сырья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и эфирного масла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25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3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. Товароведческий </w:t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анализ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,с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пособы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его проведения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31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before="283"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3. АНАЛИЗ 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ПРЯНО-АРОМАТИЧЕСКИХ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И ЭФИРНО-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113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МАСЛИЧНЫХ РАСТЕНИЙ И ИХ СЫРЬЯ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46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1.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Анализ растений, у которых сырьем являются цветки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46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2.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Анализ растений, у которых сырьем является лист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50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3.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Анализ растений, у которых сырьем является </w:t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надзе</w:t>
      </w:r>
      <w:proofErr w:type="gram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м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-</w:t>
      </w:r>
      <w:proofErr w:type="gram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</w:r>
      <w:proofErr w:type="spellStart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ная</w:t>
      </w:r>
      <w:proofErr w:type="spellEnd"/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часть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52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4.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Анализ растений, у которых сырьем являются плоды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и семена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56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 xml:space="preserve">Тема 5. 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Анализ растений, у которых сырьем являются корни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и корневища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59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i/>
          <w:iCs/>
          <w:color w:val="000000"/>
          <w:sz w:val="20"/>
          <w:szCs w:val="20"/>
        </w:rPr>
        <w:t>Тема 6.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 xml:space="preserve"> Составление агротехнического плана выращивания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br/>
        <w:t>пряно-ароматических и эфирномасличных культур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64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before="113"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0"/>
          <w:szCs w:val="20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Литература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66</w:t>
      </w:r>
    </w:p>
    <w:p w:rsidR="00FA1EDA" w:rsidRPr="00F743C8" w:rsidRDefault="00FA1EDA" w:rsidP="00FA1EDA">
      <w:pPr>
        <w:tabs>
          <w:tab w:val="left" w:pos="0"/>
          <w:tab w:val="left" w:pos="580"/>
          <w:tab w:val="right" w:leader="dot" w:pos="6350"/>
        </w:tabs>
        <w:autoSpaceDE w:val="0"/>
        <w:autoSpaceDN w:val="0"/>
        <w:adjustRightInd w:val="0"/>
        <w:spacing w:after="0" w:line="252" w:lineRule="atLeast"/>
        <w:ind w:firstLine="397"/>
        <w:textAlignment w:val="center"/>
        <w:rPr>
          <w:rFonts w:ascii="Newton" w:hAnsi="Newton" w:cs="Newton"/>
          <w:b/>
          <w:bCs/>
          <w:color w:val="000000"/>
          <w:sz w:val="21"/>
          <w:szCs w:val="21"/>
        </w:rPr>
      </w:pP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>Приложения</w:t>
      </w:r>
      <w:r w:rsidRPr="00F743C8">
        <w:rPr>
          <w:rFonts w:ascii="Newton" w:hAnsi="Newton" w:cs="Newton"/>
          <w:b/>
          <w:bCs/>
          <w:color w:val="000000"/>
          <w:sz w:val="20"/>
          <w:szCs w:val="20"/>
        </w:rPr>
        <w:tab/>
        <w:t>67</w:t>
      </w:r>
    </w:p>
    <w:p w:rsidR="0034198D" w:rsidRDefault="0034198D">
      <w:bookmarkStart w:id="0" w:name="_GoBack"/>
      <w:bookmarkEnd w:id="0"/>
    </w:p>
    <w:sectPr w:rsidR="0034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DA"/>
    <w:rsid w:val="0034198D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2018-12-27T09:29:00Z</dcterms:created>
  <dcterms:modified xsi:type="dcterms:W3CDTF">2018-12-27T09:30:00Z</dcterms:modified>
</cp:coreProperties>
</file>